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绵阳安旅人力资源开发有限公司定制家具采购项目询价回复函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项目名称: 绵阳安旅人力资源开发有限公司定制家具采购项目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询价单位：绵阳安旅人力资源开发有限公司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询价事项: 定制家具采购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预算价总计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(小写): 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(大写):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编制单位:（盖章)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编制人:(签字)</w:t>
      </w: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附：报价清单</w:t>
      </w:r>
    </w:p>
    <w:p>
      <w:pPr>
        <w:widowControl/>
        <w:jc w:val="center"/>
        <w:rPr>
          <w:rFonts w:ascii="仿宋_GB2312" w:eastAsia="仿宋_GB2312"/>
          <w:b/>
          <w:sz w:val="32"/>
          <w:szCs w:val="30"/>
        </w:rPr>
      </w:pPr>
      <w:r>
        <w:rPr>
          <w:sz w:val="32"/>
          <w:szCs w:val="32"/>
        </w:rPr>
        <w:br w:type="page"/>
      </w:r>
      <w:r>
        <w:rPr>
          <w:rFonts w:ascii="仿宋_GB2312" w:eastAsia="仿宋_GB2312"/>
          <w:b/>
          <w:sz w:val="32"/>
          <w:szCs w:val="30"/>
        </w:rPr>
        <w:t>绵阳安旅人力资源开发有限公司</w:t>
      </w:r>
      <w:r>
        <w:rPr>
          <w:rFonts w:hint="eastAsia" w:ascii="仿宋_GB2312" w:eastAsia="仿宋_GB2312"/>
          <w:b/>
          <w:sz w:val="32"/>
          <w:szCs w:val="30"/>
        </w:rPr>
        <w:t xml:space="preserve"> 办公家具清单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61"/>
        <w:gridCol w:w="3033"/>
        <w:gridCol w:w="992"/>
        <w:gridCol w:w="851"/>
        <w:gridCol w:w="850"/>
        <w:gridCol w:w="425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名称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规格及要求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数量（套）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金额（元）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参考图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办公桌1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规格：1800*1600*750 颜色：浅栎木色+拉丝铁灰</w:t>
            </w:r>
          </w:p>
          <w:p>
            <w:pPr>
              <w:widowControl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基材采用E1级环保高密度纤维板，经过防虫、防腐等化学处理，持久不变形，（甲醛释放量≤1.5mg/L）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；2.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木材含水率控制为4%-8%；3.吸水率厚度膨胀率≤35%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书柜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</w:t>
            </w:r>
          </w:p>
        </w:tc>
        <w:tc>
          <w:tcPr>
            <w:tcW w:w="3033" w:type="dxa"/>
          </w:tcPr>
          <w:p>
            <w:pPr>
              <w:widowControl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规格：</w:t>
            </w:r>
            <w:r>
              <w:rPr>
                <w:rFonts w:hint="eastAsia" w:asciiTheme="minorEastAsia" w:hAnsiTheme="minorEastAsia" w:eastAsiaTheme="minorEastAsia"/>
              </w:rPr>
              <w:t>1200*400*2000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颜色：浅栎木色+拉丝铁灰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基材采用E1级环保高密度纤维板，经过防虫、防腐等化学处理，持久不变形，（甲醛释放量≤1.5mg/L）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；2.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木材含水率控制为4%-8%；3.吸水率厚度膨胀率≤35%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7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</w:rPr>
              <w:t>办公桌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3033" w:type="dxa"/>
          </w:tcPr>
          <w:p>
            <w:pPr>
              <w:widowControl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规格：</w:t>
            </w:r>
            <w:r>
              <w:rPr>
                <w:rFonts w:hint="eastAsia" w:asciiTheme="minorEastAsia" w:hAnsiTheme="minorEastAsia" w:eastAsiaTheme="minorEastAsia"/>
              </w:rPr>
              <w:t>1400*1500*750 颜色：粉枫色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基材采用E1级环保高密度纤维板，经过防虫、防腐等化学处理，持久不变形，（甲醛释放量≤1.5mg/L）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；2.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木材含水率控制为4%-8%；3.吸水率厚度膨胀率≤35%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7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</w:rPr>
              <w:t>办公椅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</w:rPr>
              <w:t>可降可转，带头枕，网面经液太浸色及防潮、防污工艺处理，透气性强，软硬适中，回弹性能好，不变形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7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办公椅</w:t>
            </w: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eastAsiaTheme="minorEastAsia"/>
              </w:rPr>
              <w:t>可降可转，带头枕，网面经液太浸色及防潮、防污工艺处理，透气性强，软硬适中，回弹性能好，不变形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76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大写：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总额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76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zNhM2QzMjI5NWVhMzg4MzJmNmJmZTMwNGY5MGUifQ=="/>
  </w:docVars>
  <w:rsids>
    <w:rsidRoot w:val="00000000"/>
    <w:rsid w:val="2A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2023-06-13T08:10:07Z</dcterms:created>
  <dc:creator>Administrator</dc:creator>
  <cp:lastModifiedBy>一个迷茫Angel的等待~</cp:lastModifiedBy>
  <dcterms:modified xsi:type="dcterms:W3CDTF">2023-06-13T08:10:12Z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9D89D47A06B84A5E8A5967B538F39D9C_12</vt:lpwstr>
  </property>
</Properties>
</file>